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11" w:rsidRDefault="00E8151D">
      <w:pPr>
        <w:pStyle w:val="BodyA"/>
        <w:spacing w:before="200"/>
        <w:jc w:val="center"/>
        <w:rPr>
          <w:rFonts w:ascii="Times New Roman" w:eastAsia="Times New Roman" w:hAnsi="Times New Roman" w:cs="Times New Roman"/>
          <w:sz w:val="24"/>
          <w:szCs w:val="24"/>
        </w:rPr>
      </w:pPr>
      <w:r>
        <w:rPr>
          <w:rFonts w:ascii="Times New Roman" w:hAnsi="Times New Roman"/>
          <w:sz w:val="24"/>
          <w:szCs w:val="24"/>
        </w:rPr>
        <w:t>Suffolk County Community College</w:t>
      </w:r>
    </w:p>
    <w:p w:rsidR="00F45C11" w:rsidRDefault="00E8151D">
      <w:pPr>
        <w:pStyle w:val="BodyA"/>
        <w:spacing w:before="200"/>
        <w:jc w:val="center"/>
        <w:rPr>
          <w:rFonts w:ascii="Times New Roman" w:eastAsia="Times New Roman" w:hAnsi="Times New Roman" w:cs="Times New Roman"/>
          <w:sz w:val="24"/>
          <w:szCs w:val="24"/>
        </w:rPr>
      </w:pPr>
      <w:r>
        <w:rPr>
          <w:rFonts w:ascii="Times New Roman" w:hAnsi="Times New Roman"/>
          <w:sz w:val="24"/>
          <w:szCs w:val="24"/>
        </w:rPr>
        <w:t>Grant Campus</w:t>
      </w:r>
    </w:p>
    <w:p w:rsidR="00F45C11" w:rsidRDefault="00E8151D">
      <w:pPr>
        <w:pStyle w:val="BodyA"/>
        <w:spacing w:before="200"/>
        <w:jc w:val="center"/>
        <w:rPr>
          <w:rFonts w:ascii="Times New Roman" w:eastAsia="Times New Roman" w:hAnsi="Times New Roman" w:cs="Times New Roman"/>
          <w:sz w:val="24"/>
          <w:szCs w:val="24"/>
        </w:rPr>
      </w:pPr>
      <w:r>
        <w:rPr>
          <w:rFonts w:ascii="Times New Roman" w:hAnsi="Times New Roman"/>
          <w:sz w:val="24"/>
          <w:szCs w:val="24"/>
        </w:rPr>
        <w:t>Academic Assembly</w:t>
      </w:r>
    </w:p>
    <w:p w:rsidR="00F45C11" w:rsidRDefault="00E8151D">
      <w:pPr>
        <w:pStyle w:val="BodyA"/>
        <w:spacing w:before="200"/>
        <w:jc w:val="center"/>
        <w:rPr>
          <w:rFonts w:ascii="Times New Roman" w:eastAsia="Times New Roman" w:hAnsi="Times New Roman" w:cs="Times New Roman"/>
          <w:sz w:val="24"/>
          <w:szCs w:val="24"/>
        </w:rPr>
      </w:pPr>
      <w:r>
        <w:rPr>
          <w:rFonts w:ascii="Times New Roman" w:hAnsi="Times New Roman"/>
          <w:sz w:val="24"/>
          <w:szCs w:val="24"/>
        </w:rPr>
        <w:t>11/14/2017</w:t>
      </w:r>
    </w:p>
    <w:p w:rsidR="00F45C11" w:rsidRDefault="00E8151D">
      <w:pPr>
        <w:pStyle w:val="BodyA"/>
        <w:spacing w:before="200"/>
        <w:jc w:val="center"/>
        <w:rPr>
          <w:rFonts w:ascii="Times New Roman" w:eastAsia="Times New Roman" w:hAnsi="Times New Roman" w:cs="Times New Roman"/>
          <w:sz w:val="24"/>
          <w:szCs w:val="24"/>
        </w:rPr>
      </w:pPr>
      <w:r>
        <w:rPr>
          <w:rFonts w:ascii="Times New Roman" w:hAnsi="Times New Roman"/>
          <w:sz w:val="24"/>
          <w:szCs w:val="24"/>
        </w:rPr>
        <w:t>Meeting commenced at 3:38 pm</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Call to Order (Chair of the Assembly Alexander Kasiukov)</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Approval of the Minutes of Oct 3, 2017: minutes approved.</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 Old Business: Resolution on WWW2 Server</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Action Items: problem with non-FERPA and non-ADA compliant WWW2 sites as opposed to open educational resources and open faculty-maintained websites. Resolution passes unanimously. </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Presentation on DACA (Dean Patty Munsch) (slides will be available in the Assembly Update)</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2002 New York State Legislation: In-state tuition rates and undocumented students: undocumented high school students with certain requirements are allowed to enter at in-state tuition rates; however, these students had to file an affidavit as part of receiving the NYS tuition rate. IF the student does not fill out the affidavit, they would have to pay out-of-state tuition rates, per New York State legislation policies.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Maria Alzugaray: What does the affidavit say?</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Patty Munsch: The affidavit states that student does not have lawful immigration status and if given the chance, student will become a green card holder or citizen. However, the feeling about immigration in 2002 was very different: I’ve sent a request to Attorney General’s office to update the language in the affidavit. There is no list of students who are undocumented and they are not tracked in Banner for their immigration status, per se. The affidavits are filed in a secret place, saved for as long as required, and then destroyed. Institutionally we have done the best we can as an institution to safeguard the privacy of undocumented students.</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DACA: executive order signed by President Obama in 2012; it affected a small proportion of students (800,000) and enabled these students work authorization and a stay against deportation, a driver’s license, and it was a renewable program with fees ($496 every two years). All DACA students are undocumented, but not all undocumented students are under DACA. SCCC does not know if a student was/is under DACA; they filed with Homeland Security, although there were workshops to help students and faculty understand the process. SCCC has no record of DACA. DACA has ended now: what is the impact of our students?</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 xml:space="preserve">Tuition is not impacted, but may impact ability to finish a program that has work authorization (i.e., programs with licensure); ability to drive and to work legally will be impacted.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SCCC did not declare itself a sanctuary campus: SUNY and SCCC were concerned that the term does not have any actual legal meaning. SUNY did not grant any campus authorization to declare sanctuary: which may give a false sense of security.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Students need a family plan and they need to understand what paperwork to carry on them.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SCCC stands with SUNY on letter of support, as well as with other measures of support (details on PowerPoint).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ICE will not come onto educational institutions to look for students. Status on campus is not a concern; driving to and from campus without a license is a concern.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There is an Undocumented Student Task Force that has offered several workshops and resources for faculty and students (details on PowerPoint).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Website: </w:t>
      </w:r>
      <w:hyperlink r:id="rId7" w:history="1">
        <w:r>
          <w:rPr>
            <w:rStyle w:val="Hyperlink0"/>
            <w:rFonts w:ascii="Times New Roman" w:hAnsi="Times New Roman"/>
            <w:sz w:val="24"/>
            <w:szCs w:val="24"/>
          </w:rPr>
          <w:t>http://libguides.sunysuffolk.edu/daca-renewal</w:t>
        </w:r>
      </w:hyperlink>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Maine Gosine: Why would New York State not support DACA students? Suffolk County is very conservative and it is not a sanctuary city like New York City. ICE will wait right outside campus and churches. </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Campus Update (Executive Dean James Keane) (slides will be available in Assembly Update):</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Middle States Self Study Report: positive and constructive feedback and gave information on the visit in March 2018. It is important to familiarize yourself with the document because they will be on our campus.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Achieve the Dream: ways to improve our services to at-risk students.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Hours of operation and increase in part-time students.</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Search Committees: some ongoing and some filled (details on PowerPoint)</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Enrollment and Retention: enrollment is down—feeder schools are down as well. First time students we are doing well with, but retaining students remains difficult. About $6.7 million a year loss to campus.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Retention and student success is about giving students tools to be successful.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Topics of discussion: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Faculty communication with students: HR issues. Mostly part-time faculty in regards to language in the classroom and sexual innuendo, or off-color jokes. Working with academic chairs about how to bring up these issues. </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Numbers in windows for public safety purposes</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LRC: Group study rooms are getting new staff and will be open again soon. Ideas for discipline in the LRC, stop in and talk to Christine Crowe. TLC will be open soon.</w:t>
      </w:r>
    </w:p>
    <w:p w:rsidR="00F45C11" w:rsidRDefault="00E8151D">
      <w:pPr>
        <w:pStyle w:val="BodyA"/>
        <w:numPr>
          <w:ilvl w:val="2"/>
          <w:numId w:val="2"/>
        </w:numPr>
        <w:spacing w:before="200"/>
        <w:rPr>
          <w:rFonts w:ascii="Times New Roman" w:eastAsia="Times New Roman" w:hAnsi="Times New Roman" w:cs="Times New Roman"/>
          <w:sz w:val="24"/>
          <w:szCs w:val="24"/>
        </w:rPr>
      </w:pPr>
      <w:r>
        <w:rPr>
          <w:rFonts w:ascii="Times New Roman" w:hAnsi="Times New Roman"/>
          <w:sz w:val="24"/>
          <w:szCs w:val="24"/>
        </w:rPr>
        <w:t>CTL: FLC/Counselor Learning Community running this semester, technology programs, adjunct workshops</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Academic Pilot Programs: 101 D and Reading 99</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Study Program for students on academic probation (no cost to them).</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SAG renovation is underway, Plant operations opening Fall 2018.</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STEM programs and function in sustainability building: new sustainability and technology programs (details in PowerPoint): goal is to open Fall 2019.</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Outdoor Upgrades: labyrinth and outdoor theatre</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What’s next: Budget and Finance, Faculty and Staff lines, Enrollment and Student Success</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Announcement of formation of Exploratory Ad Hoc Group on Open Education - see http://open-nys.org/ (Professor Dave Dujmovic)</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We have 8 people in the group—an exploratory group on open education resources: open courseware, we will organize a workshop in the spring on OER and ADA and Creative Common Licenses and will start an open lecture series. I am actively recruiting members. </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Send updates to Alex, since Grant Campus update is now open.</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For the Good of the Assembly: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Joe Gansrow: legal affairs sent a memo about criminal history of students and that we will no longer require. I wonder why it was required in the past.</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Alex Kasiukov: SUNY policy changed. Our College is merely adjusting its internal procedure to comply with the current regulations.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MichaelAnn Tostosky: faculty exhibition is now up.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Bruce Seger: this Friday morning we are doing a trip with several clubs going to the UN—there are about 4-6 tickets left.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You are not alone on November 21st at 12:30: students have implemented a red flag campaign on campus to empower survivors of dating and sexual violence on behalf of VIBE for SANE Centers. </w:t>
      </w:r>
    </w:p>
    <w:p w:rsidR="00F45C11" w:rsidRDefault="00356D74">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Kathleen Flynn-Bisson,</w:t>
      </w:r>
      <w:bookmarkStart w:id="0" w:name="_GoBack"/>
      <w:bookmarkEnd w:id="0"/>
      <w:r w:rsidR="00E8151D">
        <w:rPr>
          <w:rFonts w:ascii="Times New Roman" w:hAnsi="Times New Roman"/>
          <w:sz w:val="24"/>
          <w:szCs w:val="24"/>
        </w:rPr>
        <w:t xml:space="preserve"> new Chemical Dependency Program coordinator: there was a press release sent out that we were awarded a 5-year grant from OASIS to connect campus and outside community on underage drinking and chemical abuse. Students were sent </w:t>
      </w:r>
      <w:r w:rsidR="00E8151D">
        <w:rPr>
          <w:rFonts w:ascii="Times New Roman" w:hAnsi="Times New Roman"/>
          <w:sz w:val="24"/>
          <w:szCs w:val="24"/>
        </w:rPr>
        <w:lastRenderedPageBreak/>
        <w:t xml:space="preserve">an alcohol and drug survey: there will be a workshop for faculty and staff in the spring on how to implement interventions. There will be a community coalition that anyone can become involved with. This is one of the first huge preventive programs that we have been able to do on campus. </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Adrienne Chu: apply for scholarships: deadline is November 29th. Flyer on Assembly Update. Award amounts range from $150-600. In the past, students have not been applying. So please spread the word. </w:t>
      </w:r>
    </w:p>
    <w:p w:rsidR="00F45C11" w:rsidRDefault="00E8151D">
      <w:pPr>
        <w:pStyle w:val="BodyA"/>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Motion to Adjourn</w:t>
      </w:r>
    </w:p>
    <w:p w:rsidR="00F45C11" w:rsidRDefault="00E8151D">
      <w:pPr>
        <w:pStyle w:val="BodyA"/>
        <w:numPr>
          <w:ilvl w:val="1"/>
          <w:numId w:val="2"/>
        </w:numPr>
        <w:spacing w:before="200"/>
        <w:rPr>
          <w:rFonts w:ascii="Times New Roman" w:eastAsia="Times New Roman" w:hAnsi="Times New Roman" w:cs="Times New Roman"/>
          <w:sz w:val="24"/>
          <w:szCs w:val="24"/>
        </w:rPr>
      </w:pPr>
      <w:r>
        <w:rPr>
          <w:rFonts w:ascii="Times New Roman" w:hAnsi="Times New Roman"/>
          <w:sz w:val="24"/>
          <w:szCs w:val="24"/>
        </w:rPr>
        <w:t>The meeting was adjourned at 4:56pm.</w:t>
      </w:r>
    </w:p>
    <w:p w:rsidR="00F45C11" w:rsidRDefault="00E8151D">
      <w:pPr>
        <w:pStyle w:val="BodyA"/>
        <w:spacing w:before="200"/>
      </w:pPr>
      <w:r>
        <w:rPr>
          <w:rFonts w:ascii="Times New Roman" w:hAnsi="Times New Roman"/>
          <w:sz w:val="24"/>
          <w:szCs w:val="24"/>
        </w:rPr>
        <w:t xml:space="preserve">Minutes recorded by Kate O’Donoghue. </w:t>
      </w:r>
    </w:p>
    <w:sectPr w:rsidR="00F45C11">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E8151D">
      <w:r>
        <w:separator/>
      </w:r>
    </w:p>
  </w:endnote>
  <w:endnote w:type="continuationSeparator" w:id="0">
    <w:p w:rsidR="001B5A1E" w:rsidRDefault="00E8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1" w:rsidRDefault="00F45C1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E8151D">
      <w:r>
        <w:separator/>
      </w:r>
    </w:p>
  </w:footnote>
  <w:footnote w:type="continuationSeparator" w:id="0">
    <w:p w:rsidR="001B5A1E" w:rsidRDefault="00E8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1" w:rsidRDefault="00E8151D">
    <w:pPr>
      <w:pStyle w:val="HeaderFooterA"/>
      <w:tabs>
        <w:tab w:val="clear" w:pos="9020"/>
        <w:tab w:val="center" w:pos="4680"/>
        <w:tab w:val="right" w:pos="9340"/>
      </w:tabs>
    </w:pPr>
    <w:r>
      <w:tab/>
    </w:r>
    <w:r>
      <w:tab/>
    </w:r>
    <w:r>
      <w:fldChar w:fldCharType="begin"/>
    </w:r>
    <w:r>
      <w:instrText xml:space="preserve"> PAGE </w:instrText>
    </w:r>
    <w:r>
      <w:fldChar w:fldCharType="separate"/>
    </w:r>
    <w:r w:rsidR="00356D74">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A6D"/>
    <w:multiLevelType w:val="hybridMultilevel"/>
    <w:tmpl w:val="9D36A62A"/>
    <w:styleLink w:val="Harvard"/>
    <w:lvl w:ilvl="0" w:tplc="12A8F314">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D8F9E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0560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E053FE">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2B2A79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1961F1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B28089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040B7A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B802EA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4331AD8"/>
    <w:multiLevelType w:val="hybridMultilevel"/>
    <w:tmpl w:val="9D36A62A"/>
    <w:numStyleLink w:val="Harvar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11"/>
    <w:rsid w:val="001B5A1E"/>
    <w:rsid w:val="00356D74"/>
    <w:rsid w:val="00E8151D"/>
    <w:rsid w:val="00F4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91D10-0DC3-4750-92E3-9CA99950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numbering" w:customStyle="1" w:styleId="Harvard">
    <w:name w:val="Harvard"/>
    <w:pPr>
      <w:numPr>
        <w:numId w:val="1"/>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bguides.sunysuffolk.edu/daca-renew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Alexander Kasiukov</cp:lastModifiedBy>
  <cp:revision>3</cp:revision>
  <dcterms:created xsi:type="dcterms:W3CDTF">2017-12-04T21:49:00Z</dcterms:created>
  <dcterms:modified xsi:type="dcterms:W3CDTF">2017-12-04T21:56:00Z</dcterms:modified>
</cp:coreProperties>
</file>